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B02876" w:rsidRDefault="00B02876" w:rsidP="00AD7611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B02876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NOVI PROIZVOD – OSIGURANjE UZ KREDITE MALIH I SREDNjIH PREDUZEĆA U SLUČAJU PREKIDA POSLOVANjA </w:t>
            </w:r>
          </w:p>
          <w:p w:rsidR="002A2353" w:rsidRPr="008E581E" w:rsidRDefault="002A2353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Pr="00B73AF7" w:rsidRDefault="00AD7611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  <w:r w:rsidRPr="00B73AF7"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  <w:t>VEBINAR</w:t>
            </w:r>
          </w:p>
          <w:p w:rsidR="00B73AF7" w:rsidRPr="00B73AF7" w:rsidRDefault="00B73AF7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</w:p>
          <w:p w:rsidR="009B72BF" w:rsidRDefault="001F12CA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04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</w:t>
            </w:r>
            <w:r w:rsidR="00BE1621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Cyrl-RS" w:eastAsia="sr-Latn-CS"/>
              </w:rPr>
              <w:t>4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2023.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B73AF7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09.30 – 14.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00</w:t>
            </w:r>
            <w:r w:rsid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h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</w:t>
            </w: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C2677F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Objašnjenje zašto je korisno zaključiti ovu vrstu osiguranja u složenim uslovima poslovanja preduzetnika, malih i srednjih  preduzeća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Određivanje ko može biti osiguranik (aktivno malo ili srednje preduzeće ili preduzetnik)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Određivanje „posebno važne zaposlene osobe“ za poslovanje preduzeća (vlasnik ili posebno važna osoba za nesmetano poslovanje konkretnog privrednog društva)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Definisanje malog ili srednjeg preduzeća – preduzeća koje je registrovano u Republici Srbiji a koje po poslednjem zvaničnom finansijskom izveštaju je ostvarilo prihod koji je niži od milion evra u dinarskoj protivvrednosti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Zaključivanje, tj. prijem u osiguranje – osiguranik tj. korisnik kredita zaključuje osiguranje potpisivanjem izjave o pristupanju u osiguranje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Uslovi da bi se mogao steći status osiguranika (da je aktivno preduzeće ili preduzetnik; da nije pokrenut stečajni ili likvidacioni postupak kao i da u najmanje u tri prethodne poslovne godine nije iskazan finansijski gubitak) 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Ukazivanje da postoji model proizvoda koji pored rizika koji se tiču key persons (smrt usled nezgode, invaliditet usled nezgode, bolovanje usled teže bolesti) obuhvata i imovinske rizike tj. požar, eksploziju, udar groma, pad letelice, udar sopstvenog motornog vozila, udar sopstvene pokretne radne mašine u građevinski objekat, manifestacije i demonstracije, kao i poplave i bujice i lom mašina, a što, ako se rizik 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ostvari dovodi do ostvarivanja osiguranog slučaja koji se sastoji u delimičnom ili potpunom prekidu rada, a što je osnov za isplatu naknada iz osiguranja koja se sastoji od isplate ugovorenog broja rata kredita, posle perioda čekanja)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U slučaju imovinskih rizika definisanje karence, perioda čekanja, perioda sanacije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Definisanje u slučaju key persons rizika osiguranog slučaja (privremena sprečenost za rad, teža bolest, smrt usled nezgode „posebno važnog zaposlenog za poslovanje“)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Naknada iz osiguranja – iznos mesečnih rata kredita u skladu sa ugovorom o kreditu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Određivanje tzv. perioda sanacije tj. vremenskog perioda od dana nastanka osiguranog slučaja do dana završetka popravke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Trajanje ove vrste osiguranja (do isteka ugovora o kreditu)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Način zaključivanja ove vrste osiguranja 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Postupak prijave i rešavanje šteta vezano za ovu vrstu osiguranja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Vođenje prodajnog razgovora sa ciljem zaključivanja ovog novog proizvoda osiguranja – upoznavanje potencijalnog ugovarača osiguranja sa mogućnošću da u okviru banke se osigura kredit za slučaj prekida poslovanja; pogodnosti za mala i srednja preduzeća i preduzetnike, ukoliko zaključe dodatno osiguranje kredita za slučaj prekida poslovanja. Davanje ključnih argumenata da se zaključi ova vrsta osiguranja – korisnici kredita se osiguravaju za slučaj nemogućnosti izmirivanja dospelih obaveza po osnovu zaključenog ugovora o kreditu, čime ne dovode u pitanje opstanak malog odnosno srednjeg preduzeća kao i statusa preduzetnika za slučaj nastupanja definisanih osiguranih slučajeva a samim tim ne ugoržavaju finansijsku stabilnost sopstvene porodice</w:t>
            </w:r>
          </w:p>
          <w:p w:rsidR="001F12CA" w:rsidRPr="001F12CA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Ukazivanje na realnost da poslovanje malog i sredjeg preduzeća kao i preduzetnika najčešće u praksi zavisi od tzv. ključne ličnosti (po pravilu vlasnika, odnosno direktora) te je značajno da te osobe budu osigurane za slučaj smrti, trajnog invaliditeta ili bolovanja usled nastanka teže bolesti</w:t>
            </w:r>
          </w:p>
          <w:p w:rsidR="00C2677F" w:rsidRPr="00BE1621" w:rsidRDefault="001F12CA" w:rsidP="001F12CA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1F12C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Objašnjavanje praktičnog funkcionisanja ovog tipa osiguranja a posebno odnosa ključnih subjekata 1) osiguravača tj. društva za osiguranje 2) ugovarača osiguranja tj. lica koje zaključuje ugovor o osiguranju sa osiguravačem (banka) 3) osiguranik – lice koje je korisnik kredita i 4) korisnik osiguranja – davalac kredita u čiju korist se zaključuje ugovor o osiguranju (banka)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BE1621" w:rsidRDefault="009B72BF" w:rsidP="001F12C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F12CA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prof. Dr Dragan Mrkšić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A43A1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1F12C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03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FD424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47B" w:rsidRDefault="0001547B">
      <w:r>
        <w:separator/>
      </w:r>
    </w:p>
  </w:endnote>
  <w:endnote w:type="continuationSeparator" w:id="0">
    <w:p w:rsidR="0001547B" w:rsidRDefault="00015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47B" w:rsidRDefault="0001547B">
      <w:r>
        <w:separator/>
      </w:r>
    </w:p>
  </w:footnote>
  <w:footnote w:type="continuationSeparator" w:id="0">
    <w:p w:rsidR="0001547B" w:rsidRDefault="00015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E2A57"/>
    <w:multiLevelType w:val="multilevel"/>
    <w:tmpl w:val="F44A3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43512"/>
    <w:multiLevelType w:val="hybridMultilevel"/>
    <w:tmpl w:val="6CF2E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6E6136"/>
    <w:multiLevelType w:val="multilevel"/>
    <w:tmpl w:val="F44A3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3"/>
  </w:num>
  <w:num w:numId="3">
    <w:abstractNumId w:val="8"/>
  </w:num>
  <w:num w:numId="4">
    <w:abstractNumId w:val="20"/>
  </w:num>
  <w:num w:numId="5">
    <w:abstractNumId w:val="27"/>
  </w:num>
  <w:num w:numId="6">
    <w:abstractNumId w:val="21"/>
  </w:num>
  <w:num w:numId="7">
    <w:abstractNumId w:val="9"/>
  </w:num>
  <w:num w:numId="8">
    <w:abstractNumId w:val="3"/>
  </w:num>
  <w:num w:numId="9">
    <w:abstractNumId w:val="6"/>
  </w:num>
  <w:num w:numId="10">
    <w:abstractNumId w:val="42"/>
  </w:num>
  <w:num w:numId="11">
    <w:abstractNumId w:val="30"/>
  </w:num>
  <w:num w:numId="12">
    <w:abstractNumId w:val="2"/>
  </w:num>
  <w:num w:numId="13">
    <w:abstractNumId w:val="0"/>
  </w:num>
  <w:num w:numId="14">
    <w:abstractNumId w:val="43"/>
  </w:num>
  <w:num w:numId="15">
    <w:abstractNumId w:val="15"/>
  </w:num>
  <w:num w:numId="16">
    <w:abstractNumId w:val="24"/>
  </w:num>
  <w:num w:numId="17">
    <w:abstractNumId w:val="13"/>
  </w:num>
  <w:num w:numId="18">
    <w:abstractNumId w:val="32"/>
  </w:num>
  <w:num w:numId="19">
    <w:abstractNumId w:val="16"/>
  </w:num>
  <w:num w:numId="20">
    <w:abstractNumId w:val="1"/>
  </w:num>
  <w:num w:numId="21">
    <w:abstractNumId w:val="28"/>
  </w:num>
  <w:num w:numId="22">
    <w:abstractNumId w:val="7"/>
  </w:num>
  <w:num w:numId="23">
    <w:abstractNumId w:val="33"/>
  </w:num>
  <w:num w:numId="24">
    <w:abstractNumId w:val="14"/>
  </w:num>
  <w:num w:numId="25">
    <w:abstractNumId w:val="17"/>
  </w:num>
  <w:num w:numId="26">
    <w:abstractNumId w:val="25"/>
  </w:num>
  <w:num w:numId="27">
    <w:abstractNumId w:val="37"/>
  </w:num>
  <w:num w:numId="28">
    <w:abstractNumId w:val="26"/>
  </w:num>
  <w:num w:numId="29">
    <w:abstractNumId w:val="29"/>
  </w:num>
  <w:num w:numId="30">
    <w:abstractNumId w:val="40"/>
  </w:num>
  <w:num w:numId="31">
    <w:abstractNumId w:val="18"/>
  </w:num>
  <w:num w:numId="32">
    <w:abstractNumId w:val="39"/>
  </w:num>
  <w:num w:numId="33">
    <w:abstractNumId w:val="11"/>
  </w:num>
  <w:num w:numId="34">
    <w:abstractNumId w:val="36"/>
  </w:num>
  <w:num w:numId="35">
    <w:abstractNumId w:val="4"/>
  </w:num>
  <w:num w:numId="36">
    <w:abstractNumId w:val="5"/>
  </w:num>
  <w:num w:numId="37">
    <w:abstractNumId w:val="19"/>
  </w:num>
  <w:num w:numId="38">
    <w:abstractNumId w:val="31"/>
  </w:num>
  <w:num w:numId="39">
    <w:abstractNumId w:val="10"/>
  </w:num>
  <w:num w:numId="40">
    <w:abstractNumId w:val="41"/>
  </w:num>
  <w:num w:numId="41">
    <w:abstractNumId w:val="35"/>
  </w:num>
  <w:num w:numId="42">
    <w:abstractNumId w:val="22"/>
  </w:num>
  <w:num w:numId="43">
    <w:abstractNumId w:val="12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47B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12CA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428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3A11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876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1621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5C39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4248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9FB1B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10201-FA1E-4DE7-B29B-8B36C7A01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5162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3</cp:revision>
  <cp:lastPrinted>2015-12-22T11:13:00Z</cp:lastPrinted>
  <dcterms:created xsi:type="dcterms:W3CDTF">2023-03-20T10:48:00Z</dcterms:created>
  <dcterms:modified xsi:type="dcterms:W3CDTF">2023-03-20T10:50:00Z</dcterms:modified>
</cp:coreProperties>
</file>